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E4F" w:rsidRPr="000C5E4F" w:rsidRDefault="000C5E4F" w:rsidP="000C5E4F">
      <w:pPr>
        <w:widowControl/>
        <w:spacing w:line="540" w:lineRule="atLeast"/>
        <w:jc w:val="center"/>
        <w:outlineLvl w:val="3"/>
        <w:rPr>
          <w:rFonts w:ascii="宋体" w:eastAsia="宋体" w:hAnsi="宋体" w:cs="宋体"/>
          <w:b/>
          <w:bCs/>
          <w:kern w:val="0"/>
          <w:sz w:val="27"/>
          <w:szCs w:val="27"/>
        </w:rPr>
      </w:pPr>
      <w:bookmarkStart w:id="0" w:name="_GoBack"/>
      <w:r w:rsidRPr="000C5E4F">
        <w:rPr>
          <w:rFonts w:ascii="宋体" w:eastAsia="宋体" w:hAnsi="宋体" w:cs="宋体"/>
          <w:b/>
          <w:bCs/>
          <w:kern w:val="0"/>
          <w:sz w:val="27"/>
          <w:szCs w:val="27"/>
        </w:rPr>
        <w:t>天津大学专业学位教育中心 2023年非全日制硕士研究生（电子信息、生物与医药）招收调剂的通知</w:t>
      </w:r>
    </w:p>
    <w:bookmarkEnd w:id="0"/>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根据教育部及天津市有关招生录取文件精神，结合我校非全日制研究生招生情况实际工作，特制定学部非全日硕士研究生调剂办法，并向广大考生公布。</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一、接收调剂专业</w:t>
      </w:r>
    </w:p>
    <w:p w:rsidR="000C5E4F" w:rsidRPr="000C5E4F" w:rsidRDefault="000C5E4F" w:rsidP="000C5E4F">
      <w:pPr>
        <w:widowControl/>
        <w:jc w:val="center"/>
        <w:rPr>
          <w:rFonts w:ascii="Arial" w:eastAsia="宋体" w:hAnsi="Arial" w:cs="Arial"/>
          <w:kern w:val="0"/>
          <w:sz w:val="24"/>
          <w:szCs w:val="24"/>
        </w:rPr>
      </w:pPr>
      <w:r w:rsidRPr="000C5E4F">
        <w:rPr>
          <w:rFonts w:ascii="Arial" w:eastAsia="宋体" w:hAnsi="Arial" w:cs="Arial"/>
          <w:noProof/>
          <w:kern w:val="0"/>
          <w:sz w:val="24"/>
          <w:szCs w:val="24"/>
        </w:rPr>
        <w:drawing>
          <wp:inline distT="0" distB="0" distL="0" distR="0" wp14:anchorId="07784885" wp14:editId="2C82BDA8">
            <wp:extent cx="5353050" cy="2819400"/>
            <wp:effectExtent l="0" t="0" r="0" b="0"/>
            <wp:docPr id="1" name="图片 1" descr="WechatIMG4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chatIMG498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0" cy="2819400"/>
                    </a:xfrm>
                    <a:prstGeom prst="rect">
                      <a:avLst/>
                    </a:prstGeom>
                    <a:noFill/>
                    <a:ln>
                      <a:noFill/>
                    </a:ln>
                  </pic:spPr>
                </pic:pic>
              </a:graphicData>
            </a:graphic>
          </wp:inline>
        </w:drawing>
      </w:r>
    </w:p>
    <w:p w:rsidR="000C5E4F" w:rsidRPr="000C5E4F" w:rsidRDefault="000C5E4F" w:rsidP="000C5E4F">
      <w:pPr>
        <w:widowControl/>
        <w:jc w:val="left"/>
        <w:rPr>
          <w:rFonts w:ascii="Arial" w:eastAsia="宋体" w:hAnsi="Arial" w:cs="Arial"/>
          <w:kern w:val="0"/>
          <w:sz w:val="24"/>
          <w:szCs w:val="24"/>
        </w:rPr>
      </w:pPr>
      <w:r w:rsidRPr="000C5E4F">
        <w:rPr>
          <w:rFonts w:ascii="Arial" w:eastAsia="宋体" w:hAnsi="Arial" w:cs="Arial"/>
          <w:kern w:val="0"/>
          <w:sz w:val="24"/>
          <w:szCs w:val="24"/>
        </w:rPr>
        <w:br/>
      </w:r>
      <w:r w:rsidRPr="000C5E4F">
        <w:rPr>
          <w:rFonts w:ascii="华文仿宋" w:eastAsia="华文仿宋" w:hAnsi="华文仿宋" w:cs="Arial" w:hint="eastAsia"/>
          <w:kern w:val="0"/>
          <w:sz w:val="29"/>
          <w:szCs w:val="29"/>
        </w:rPr>
        <w:t>每位同学仅可申报学部一个专业/方向。</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二、调剂基本要求</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1. 上述两专业</w:t>
      </w:r>
      <w:r w:rsidRPr="000C5E4F">
        <w:rPr>
          <w:rFonts w:ascii="华文仿宋" w:eastAsia="华文仿宋" w:hAnsi="华文仿宋" w:cs="Calibri" w:hint="eastAsia"/>
          <w:color w:val="FF0000"/>
          <w:kern w:val="0"/>
          <w:sz w:val="29"/>
          <w:szCs w:val="29"/>
        </w:rPr>
        <w:t>非全</w:t>
      </w:r>
      <w:r w:rsidRPr="000C5E4F">
        <w:rPr>
          <w:rFonts w:ascii="华文仿宋" w:eastAsia="华文仿宋" w:hAnsi="华文仿宋" w:cs="Calibri" w:hint="eastAsia"/>
          <w:kern w:val="0"/>
          <w:sz w:val="29"/>
          <w:szCs w:val="29"/>
        </w:rPr>
        <w:t>日制硕士研究生接收调剂的基本分数线如下：</w:t>
      </w:r>
    </w:p>
    <w:p w:rsidR="000C5E4F" w:rsidRPr="000C5E4F" w:rsidRDefault="000C5E4F" w:rsidP="000C5E4F">
      <w:pPr>
        <w:widowControl/>
        <w:spacing w:line="435" w:lineRule="atLeast"/>
        <w:jc w:val="left"/>
        <w:rPr>
          <w:rFonts w:ascii="Calibri" w:eastAsia="宋体" w:hAnsi="Calibri" w:cs="Calibri"/>
          <w:kern w:val="0"/>
          <w:sz w:val="24"/>
          <w:szCs w:val="24"/>
        </w:rPr>
      </w:pPr>
      <w:r w:rsidRPr="000C5E4F">
        <w:rPr>
          <w:rFonts w:ascii="宋体" w:eastAsia="宋体" w:hAnsi="宋体" w:cs="Calibri" w:hint="eastAsia"/>
          <w:b/>
          <w:bCs/>
          <w:kern w:val="0"/>
          <w:sz w:val="26"/>
          <w:szCs w:val="26"/>
          <w:shd w:val="clear" w:color="auto" w:fill="FFFFFF"/>
        </w:rPr>
        <w:t>政治</w:t>
      </w:r>
      <w:r w:rsidRPr="000C5E4F">
        <w:rPr>
          <w:rFonts w:ascii="Calibri" w:eastAsia="宋体" w:hAnsi="Calibri" w:cs="Calibri"/>
          <w:b/>
          <w:bCs/>
          <w:kern w:val="0"/>
          <w:sz w:val="26"/>
          <w:szCs w:val="26"/>
          <w:shd w:val="clear" w:color="auto" w:fill="FFFFFF"/>
        </w:rPr>
        <w:t>45</w:t>
      </w:r>
      <w:r w:rsidRPr="000C5E4F">
        <w:rPr>
          <w:rFonts w:ascii="宋体" w:eastAsia="宋体" w:hAnsi="宋体" w:cs="Calibri" w:hint="eastAsia"/>
          <w:b/>
          <w:bCs/>
          <w:kern w:val="0"/>
          <w:sz w:val="26"/>
          <w:szCs w:val="26"/>
          <w:shd w:val="clear" w:color="auto" w:fill="FFFFFF"/>
        </w:rPr>
        <w:t>分，外语</w:t>
      </w:r>
      <w:r w:rsidRPr="000C5E4F">
        <w:rPr>
          <w:rFonts w:ascii="Calibri" w:eastAsia="宋体" w:hAnsi="Calibri" w:cs="Calibri"/>
          <w:b/>
          <w:bCs/>
          <w:kern w:val="0"/>
          <w:sz w:val="26"/>
          <w:szCs w:val="26"/>
          <w:shd w:val="clear" w:color="auto" w:fill="FFFFFF"/>
        </w:rPr>
        <w:t>45</w:t>
      </w:r>
      <w:r w:rsidRPr="000C5E4F">
        <w:rPr>
          <w:rFonts w:ascii="宋体" w:eastAsia="宋体" w:hAnsi="宋体" w:cs="Calibri" w:hint="eastAsia"/>
          <w:b/>
          <w:bCs/>
          <w:kern w:val="0"/>
          <w:sz w:val="26"/>
          <w:szCs w:val="26"/>
          <w:shd w:val="clear" w:color="auto" w:fill="FFFFFF"/>
        </w:rPr>
        <w:t>分，业务课一</w:t>
      </w:r>
      <w:proofErr w:type="gramStart"/>
      <w:r w:rsidRPr="000C5E4F">
        <w:rPr>
          <w:rFonts w:ascii="Calibri" w:eastAsia="宋体" w:hAnsi="Calibri" w:cs="Calibri"/>
          <w:b/>
          <w:bCs/>
          <w:kern w:val="0"/>
          <w:sz w:val="26"/>
          <w:szCs w:val="26"/>
          <w:shd w:val="clear" w:color="auto" w:fill="FFFFFF"/>
        </w:rPr>
        <w:t>75</w:t>
      </w:r>
      <w:proofErr w:type="gramEnd"/>
      <w:r w:rsidRPr="000C5E4F">
        <w:rPr>
          <w:rFonts w:ascii="宋体" w:eastAsia="宋体" w:hAnsi="宋体" w:cs="Calibri" w:hint="eastAsia"/>
          <w:b/>
          <w:bCs/>
          <w:kern w:val="0"/>
          <w:sz w:val="26"/>
          <w:szCs w:val="26"/>
          <w:shd w:val="clear" w:color="auto" w:fill="FFFFFF"/>
        </w:rPr>
        <w:t>分，业务课二</w:t>
      </w:r>
      <w:proofErr w:type="gramStart"/>
      <w:r w:rsidRPr="000C5E4F">
        <w:rPr>
          <w:rFonts w:ascii="Calibri" w:eastAsia="宋体" w:hAnsi="Calibri" w:cs="Calibri"/>
          <w:b/>
          <w:bCs/>
          <w:kern w:val="0"/>
          <w:sz w:val="26"/>
          <w:szCs w:val="26"/>
          <w:shd w:val="clear" w:color="auto" w:fill="FFFFFF"/>
        </w:rPr>
        <w:t>75</w:t>
      </w:r>
      <w:proofErr w:type="gramEnd"/>
      <w:r w:rsidRPr="000C5E4F">
        <w:rPr>
          <w:rFonts w:ascii="宋体" w:eastAsia="宋体" w:hAnsi="宋体" w:cs="Calibri" w:hint="eastAsia"/>
          <w:b/>
          <w:bCs/>
          <w:kern w:val="0"/>
          <w:sz w:val="26"/>
          <w:szCs w:val="26"/>
          <w:shd w:val="clear" w:color="auto" w:fill="FFFFFF"/>
        </w:rPr>
        <w:t>分，总分</w:t>
      </w:r>
      <w:r w:rsidRPr="000C5E4F">
        <w:rPr>
          <w:rFonts w:ascii="Calibri" w:eastAsia="宋体" w:hAnsi="Calibri" w:cs="Calibri"/>
          <w:b/>
          <w:bCs/>
          <w:color w:val="FF0000"/>
          <w:kern w:val="0"/>
          <w:sz w:val="26"/>
          <w:szCs w:val="26"/>
          <w:shd w:val="clear" w:color="auto" w:fill="FFFFFF"/>
        </w:rPr>
        <w:t>310</w:t>
      </w:r>
      <w:r w:rsidRPr="000C5E4F">
        <w:rPr>
          <w:rFonts w:ascii="宋体" w:eastAsia="宋体" w:hAnsi="宋体" w:cs="Calibri" w:hint="eastAsia"/>
          <w:b/>
          <w:bCs/>
          <w:kern w:val="0"/>
          <w:sz w:val="26"/>
          <w:szCs w:val="26"/>
          <w:shd w:val="clear" w:color="auto" w:fill="FFFFFF"/>
        </w:rPr>
        <w:t>分。</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2. 考生认可并签署《</w:t>
      </w:r>
      <w:r w:rsidRPr="000C5E4F">
        <w:rPr>
          <w:rFonts w:ascii="华文仿宋" w:eastAsia="华文仿宋" w:hAnsi="华文仿宋" w:cs="Calibri" w:hint="eastAsia"/>
          <w:color w:val="FF0000"/>
          <w:kern w:val="0"/>
          <w:sz w:val="29"/>
          <w:szCs w:val="29"/>
        </w:rPr>
        <w:t>非全日制硕士研究生培养方式知情承诺书</w:t>
      </w:r>
      <w:r w:rsidRPr="000C5E4F">
        <w:rPr>
          <w:rFonts w:ascii="华文仿宋" w:eastAsia="华文仿宋" w:hAnsi="华文仿宋" w:cs="Calibri" w:hint="eastAsia"/>
          <w:kern w:val="0"/>
          <w:sz w:val="29"/>
          <w:szCs w:val="29"/>
        </w:rPr>
        <w:t>》（详见附件），且只能录取为定向生。</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三、申请办法</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lastRenderedPageBreak/>
        <w:t>所有满足调剂需求的考生，请于“全国硕士生招生调剂服务系统”专业报名通道开通后12小时内选报天津大学志愿（学院视报名情况确定是否延长接收申报时间）。</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所有列入调剂复试名单的考生（学部在国家调剂系统审核通过），均须通过硕士招生管理系统网上交费平台（</w:t>
      </w:r>
      <w:hyperlink r:id="rId8" w:history="1">
        <w:r w:rsidRPr="000C5E4F">
          <w:rPr>
            <w:rFonts w:ascii="华文仿宋" w:eastAsia="华文仿宋" w:hAnsi="华文仿宋" w:cs="Calibri" w:hint="eastAsia"/>
            <w:color w:val="0000FF"/>
            <w:kern w:val="0"/>
            <w:sz w:val="29"/>
            <w:szCs w:val="29"/>
            <w:u w:val="single"/>
          </w:rPr>
          <w:t>http://202.113.8.92/TGSR/index.action</w:t>
        </w:r>
      </w:hyperlink>
      <w:r w:rsidRPr="000C5E4F">
        <w:rPr>
          <w:rFonts w:ascii="华文仿宋" w:eastAsia="华文仿宋" w:hAnsi="华文仿宋" w:cs="Calibri" w:hint="eastAsia"/>
          <w:kern w:val="0"/>
          <w:sz w:val="29"/>
          <w:szCs w:val="29"/>
        </w:rPr>
        <w:t>）及时缴费（已参加我校</w:t>
      </w:r>
      <w:proofErr w:type="gramStart"/>
      <w:r w:rsidRPr="000C5E4F">
        <w:rPr>
          <w:rFonts w:ascii="华文仿宋" w:eastAsia="华文仿宋" w:hAnsi="华文仿宋" w:cs="Calibri" w:hint="eastAsia"/>
          <w:kern w:val="0"/>
          <w:sz w:val="29"/>
          <w:szCs w:val="29"/>
        </w:rPr>
        <w:t>一</w:t>
      </w:r>
      <w:proofErr w:type="gramEnd"/>
      <w:r w:rsidRPr="000C5E4F">
        <w:rPr>
          <w:rFonts w:ascii="华文仿宋" w:eastAsia="华文仿宋" w:hAnsi="华文仿宋" w:cs="Calibri" w:hint="eastAsia"/>
          <w:kern w:val="0"/>
          <w:sz w:val="29"/>
          <w:szCs w:val="29"/>
        </w:rPr>
        <w:t>志愿复试的考生，无需重复缴费），复试费标准为90元。完成缴费后，考生可适时在网上下载打印《复试资格审查合格单》。资格审查所</w:t>
      </w:r>
      <w:proofErr w:type="gramStart"/>
      <w:r w:rsidRPr="000C5E4F">
        <w:rPr>
          <w:rFonts w:ascii="华文仿宋" w:eastAsia="华文仿宋" w:hAnsi="华文仿宋" w:cs="Calibri" w:hint="eastAsia"/>
          <w:kern w:val="0"/>
          <w:sz w:val="29"/>
          <w:szCs w:val="29"/>
        </w:rPr>
        <w:t>需材料</w:t>
      </w:r>
      <w:proofErr w:type="gramEnd"/>
      <w:r w:rsidRPr="000C5E4F">
        <w:rPr>
          <w:rFonts w:ascii="华文仿宋" w:eastAsia="华文仿宋" w:hAnsi="华文仿宋" w:cs="Calibri" w:hint="eastAsia"/>
          <w:kern w:val="0"/>
          <w:sz w:val="29"/>
          <w:szCs w:val="29"/>
        </w:rPr>
        <w:t>清单如下：</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kern w:val="0"/>
          <w:sz w:val="29"/>
          <w:szCs w:val="29"/>
        </w:rPr>
        <w:t>1. 《天津大学复试资格审查合格单》；</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kern w:val="0"/>
          <w:sz w:val="29"/>
          <w:szCs w:val="29"/>
        </w:rPr>
        <w:t>2. 本科成绩单；</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kern w:val="0"/>
          <w:sz w:val="29"/>
          <w:szCs w:val="29"/>
        </w:rPr>
        <w:t>3. 身份证；</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kern w:val="0"/>
          <w:sz w:val="29"/>
          <w:szCs w:val="29"/>
        </w:rPr>
        <w:t>4. 学历证明（往届生提供从</w:t>
      </w:r>
      <w:proofErr w:type="gramStart"/>
      <w:r w:rsidRPr="000C5E4F">
        <w:rPr>
          <w:rFonts w:ascii="华文仿宋" w:eastAsia="华文仿宋" w:hAnsi="华文仿宋" w:cs="Arial" w:hint="eastAsia"/>
          <w:kern w:val="0"/>
          <w:sz w:val="29"/>
          <w:szCs w:val="29"/>
        </w:rPr>
        <w:t>学信网下载</w:t>
      </w:r>
      <w:proofErr w:type="gramEnd"/>
      <w:r w:rsidRPr="000C5E4F">
        <w:rPr>
          <w:rFonts w:ascii="华文仿宋" w:eastAsia="华文仿宋" w:hAnsi="华文仿宋" w:cs="Arial" w:hint="eastAsia"/>
          <w:kern w:val="0"/>
          <w:sz w:val="29"/>
          <w:szCs w:val="29"/>
        </w:rPr>
        <w:t>的电子版《学历电子注册备案表》，应届生提供从</w:t>
      </w:r>
      <w:proofErr w:type="gramStart"/>
      <w:r w:rsidRPr="000C5E4F">
        <w:rPr>
          <w:rFonts w:ascii="华文仿宋" w:eastAsia="华文仿宋" w:hAnsi="华文仿宋" w:cs="Arial" w:hint="eastAsia"/>
          <w:kern w:val="0"/>
          <w:sz w:val="29"/>
          <w:szCs w:val="29"/>
        </w:rPr>
        <w:t>学信网下载</w:t>
      </w:r>
      <w:proofErr w:type="gramEnd"/>
      <w:r w:rsidRPr="000C5E4F">
        <w:rPr>
          <w:rFonts w:ascii="华文仿宋" w:eastAsia="华文仿宋" w:hAnsi="华文仿宋" w:cs="Arial" w:hint="eastAsia"/>
          <w:kern w:val="0"/>
          <w:sz w:val="29"/>
          <w:szCs w:val="29"/>
        </w:rPr>
        <w:t>的电子版《学籍在线验证报告》，自</w:t>
      </w:r>
      <w:proofErr w:type="gramStart"/>
      <w:r w:rsidRPr="000C5E4F">
        <w:rPr>
          <w:rFonts w:ascii="华文仿宋" w:eastAsia="华文仿宋" w:hAnsi="华文仿宋" w:cs="Arial" w:hint="eastAsia"/>
          <w:kern w:val="0"/>
          <w:sz w:val="29"/>
          <w:szCs w:val="29"/>
        </w:rPr>
        <w:t>考提供</w:t>
      </w:r>
      <w:proofErr w:type="gramEnd"/>
      <w:r w:rsidRPr="000C5E4F">
        <w:rPr>
          <w:rFonts w:ascii="华文仿宋" w:eastAsia="华文仿宋" w:hAnsi="华文仿宋" w:cs="Arial" w:hint="eastAsia"/>
          <w:kern w:val="0"/>
          <w:sz w:val="29"/>
          <w:szCs w:val="29"/>
        </w:rPr>
        <w:t>自考准考证，海外学历提供教育部留学服务中心认证）；</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color w:val="FF0000"/>
          <w:kern w:val="0"/>
          <w:sz w:val="29"/>
          <w:szCs w:val="29"/>
        </w:rPr>
        <w:lastRenderedPageBreak/>
        <w:t>5. 非全日制硕士研究生培养方式知情承诺书</w:t>
      </w:r>
    </w:p>
    <w:p w:rsidR="000C5E4F" w:rsidRPr="000C5E4F" w:rsidRDefault="000C5E4F" w:rsidP="000C5E4F">
      <w:pPr>
        <w:widowControl/>
        <w:spacing w:line="435" w:lineRule="atLeast"/>
        <w:ind w:left="4875"/>
        <w:jc w:val="left"/>
        <w:rPr>
          <w:rFonts w:ascii="Arial" w:eastAsia="宋体" w:hAnsi="Arial" w:cs="Arial"/>
          <w:kern w:val="0"/>
          <w:sz w:val="24"/>
          <w:szCs w:val="24"/>
        </w:rPr>
      </w:pPr>
      <w:r w:rsidRPr="000C5E4F">
        <w:rPr>
          <w:rFonts w:ascii="华文仿宋" w:eastAsia="华文仿宋" w:hAnsi="华文仿宋" w:cs="Arial" w:hint="eastAsia"/>
          <w:kern w:val="0"/>
          <w:sz w:val="29"/>
          <w:szCs w:val="29"/>
        </w:rPr>
        <w:t>6. 个人简历</w:t>
      </w:r>
    </w:p>
    <w:p w:rsidR="000C5E4F" w:rsidRPr="000C5E4F" w:rsidRDefault="000C5E4F" w:rsidP="000C5E4F">
      <w:pPr>
        <w:widowControl/>
        <w:spacing w:line="435" w:lineRule="atLeast"/>
        <w:ind w:left="4455"/>
        <w:rPr>
          <w:rFonts w:ascii="Calibri" w:eastAsia="宋体" w:hAnsi="Calibri" w:cs="Calibri"/>
          <w:kern w:val="0"/>
          <w:sz w:val="24"/>
          <w:szCs w:val="24"/>
        </w:rPr>
      </w:pPr>
      <w:r w:rsidRPr="000C5E4F">
        <w:rPr>
          <w:rFonts w:ascii="华文仿宋" w:eastAsia="华文仿宋" w:hAnsi="华文仿宋" w:cs="Calibri" w:hint="eastAsia"/>
          <w:kern w:val="0"/>
          <w:sz w:val="29"/>
          <w:szCs w:val="29"/>
        </w:rPr>
        <w:t> </w:t>
      </w:r>
    </w:p>
    <w:p w:rsidR="000C5E4F" w:rsidRPr="000C5E4F" w:rsidRDefault="000C5E4F" w:rsidP="000C5E4F">
      <w:pPr>
        <w:widowControl/>
        <w:rPr>
          <w:rFonts w:ascii="Calibri" w:eastAsia="宋体" w:hAnsi="Calibri" w:cs="Calibri"/>
          <w:kern w:val="0"/>
          <w:sz w:val="24"/>
          <w:szCs w:val="24"/>
        </w:rPr>
      </w:pPr>
      <w:r w:rsidRPr="000C5E4F">
        <w:rPr>
          <w:rFonts w:ascii="仿宋_GB2312" w:eastAsia="仿宋_GB2312" w:hAnsi="Calibri" w:cs="Calibri" w:hint="eastAsia"/>
          <w:b/>
          <w:bCs/>
          <w:kern w:val="0"/>
          <w:sz w:val="29"/>
          <w:szCs w:val="29"/>
        </w:rPr>
        <w:t>以上材料均需提交</w:t>
      </w:r>
      <w:proofErr w:type="gramStart"/>
      <w:r w:rsidRPr="000C5E4F">
        <w:rPr>
          <w:rFonts w:ascii="仿宋_GB2312" w:eastAsia="仿宋_GB2312" w:hAnsi="Calibri" w:cs="Calibri" w:hint="eastAsia"/>
          <w:b/>
          <w:bCs/>
          <w:kern w:val="0"/>
          <w:sz w:val="29"/>
          <w:szCs w:val="29"/>
        </w:rPr>
        <w:t>清晰版</w:t>
      </w:r>
      <w:proofErr w:type="gramEnd"/>
      <w:r w:rsidRPr="000C5E4F">
        <w:rPr>
          <w:rFonts w:ascii="仿宋_GB2312" w:eastAsia="仿宋_GB2312" w:hAnsi="Calibri" w:cs="Calibri" w:hint="eastAsia"/>
          <w:b/>
          <w:bCs/>
          <w:kern w:val="0"/>
          <w:sz w:val="29"/>
          <w:szCs w:val="29"/>
        </w:rPr>
        <w:t>照片或扫描件进行资格审查，提交方式为：确认参加调剂复试的同学，须在4月8日12:00前将上述1、3、4、5</w:t>
      </w:r>
      <w:proofErr w:type="gramStart"/>
      <w:r w:rsidRPr="000C5E4F">
        <w:rPr>
          <w:rFonts w:ascii="仿宋_GB2312" w:eastAsia="仿宋_GB2312" w:hAnsi="Calibri" w:cs="Calibri" w:hint="eastAsia"/>
          <w:b/>
          <w:bCs/>
          <w:kern w:val="0"/>
          <w:sz w:val="29"/>
          <w:szCs w:val="29"/>
        </w:rPr>
        <w:t>四</w:t>
      </w:r>
      <w:proofErr w:type="gramEnd"/>
      <w:r w:rsidRPr="000C5E4F">
        <w:rPr>
          <w:rFonts w:ascii="仿宋_GB2312" w:eastAsia="仿宋_GB2312" w:hAnsi="Calibri" w:cs="Calibri" w:hint="eastAsia"/>
          <w:b/>
          <w:bCs/>
          <w:kern w:val="0"/>
          <w:sz w:val="29"/>
          <w:szCs w:val="29"/>
        </w:rPr>
        <w:t>份材料依次序整理成一份PDF文件（命名为“资格审查”），2、6</w:t>
      </w:r>
      <w:proofErr w:type="gramStart"/>
      <w:r w:rsidRPr="000C5E4F">
        <w:rPr>
          <w:rFonts w:ascii="仿宋_GB2312" w:eastAsia="仿宋_GB2312" w:hAnsi="Calibri" w:cs="Calibri" w:hint="eastAsia"/>
          <w:b/>
          <w:bCs/>
          <w:kern w:val="0"/>
          <w:sz w:val="29"/>
          <w:szCs w:val="29"/>
        </w:rPr>
        <w:t>两</w:t>
      </w:r>
      <w:proofErr w:type="gramEnd"/>
      <w:r w:rsidRPr="000C5E4F">
        <w:rPr>
          <w:rFonts w:ascii="仿宋_GB2312" w:eastAsia="仿宋_GB2312" w:hAnsi="Calibri" w:cs="Calibri" w:hint="eastAsia"/>
          <w:b/>
          <w:bCs/>
          <w:kern w:val="0"/>
          <w:sz w:val="29"/>
          <w:szCs w:val="29"/>
        </w:rPr>
        <w:t>份材料依序整理成一份PDF文件（命名为“成绩简历”）发送至</w:t>
      </w:r>
      <w:hyperlink r:id="rId9" w:history="1">
        <w:r w:rsidRPr="000C5E4F">
          <w:rPr>
            <w:rFonts w:ascii="仿宋_GB2312" w:eastAsia="仿宋_GB2312" w:hAnsi="Calibri" w:cs="Calibri" w:hint="eastAsia"/>
            <w:b/>
            <w:bCs/>
            <w:color w:val="333333"/>
            <w:kern w:val="0"/>
            <w:sz w:val="29"/>
            <w:szCs w:val="29"/>
          </w:rPr>
          <w:t>tjuygyzs@163.com</w:t>
        </w:r>
      </w:hyperlink>
      <w:r w:rsidRPr="000C5E4F">
        <w:rPr>
          <w:rFonts w:ascii="仿宋_GB2312" w:eastAsia="仿宋_GB2312" w:hAnsi="Calibri" w:cs="Calibri" w:hint="eastAsia"/>
          <w:b/>
          <w:bCs/>
          <w:kern w:val="0"/>
          <w:sz w:val="29"/>
          <w:szCs w:val="29"/>
        </w:rPr>
        <w:t>,邮件标题为“姓名+考生准考证编号+调剂专业名称+确认接受资格审查并参加复试”。</w:t>
      </w:r>
    </w:p>
    <w:p w:rsidR="000C5E4F" w:rsidRPr="000C5E4F" w:rsidRDefault="000C5E4F" w:rsidP="000C5E4F">
      <w:pPr>
        <w:widowControl/>
        <w:rPr>
          <w:rFonts w:ascii="Calibri" w:eastAsia="宋体" w:hAnsi="Calibri" w:cs="Calibri"/>
          <w:kern w:val="0"/>
          <w:sz w:val="24"/>
          <w:szCs w:val="24"/>
        </w:rPr>
      </w:pPr>
      <w:r w:rsidRPr="000C5E4F">
        <w:rPr>
          <w:rFonts w:ascii="Calibri" w:eastAsia="宋体" w:hAnsi="Calibri" w:cs="Calibri"/>
          <w:kern w:val="0"/>
          <w:sz w:val="24"/>
          <w:szCs w:val="24"/>
        </w:rPr>
        <w:t> </w:t>
      </w:r>
    </w:p>
    <w:p w:rsidR="000C5E4F" w:rsidRPr="000C5E4F" w:rsidRDefault="000C5E4F" w:rsidP="000C5E4F">
      <w:pPr>
        <w:widowControl/>
        <w:spacing w:line="338" w:lineRule="atLeast"/>
        <w:jc w:val="left"/>
        <w:outlineLvl w:val="2"/>
        <w:rPr>
          <w:rFonts w:ascii="宋体" w:eastAsia="宋体" w:hAnsi="宋体" w:cs="宋体"/>
          <w:kern w:val="0"/>
          <w:sz w:val="27"/>
          <w:szCs w:val="27"/>
        </w:rPr>
      </w:pPr>
      <w:r w:rsidRPr="000C5E4F">
        <w:rPr>
          <w:rFonts w:ascii="仿宋_GB2312" w:eastAsia="仿宋_GB2312" w:hAnsi="宋体" w:cs="宋体" w:hint="eastAsia"/>
          <w:color w:val="FF0000"/>
          <w:kern w:val="0"/>
          <w:sz w:val="29"/>
          <w:szCs w:val="29"/>
        </w:rPr>
        <w:t>特别提示：</w:t>
      </w:r>
    </w:p>
    <w:p w:rsidR="000C5E4F" w:rsidRPr="000C5E4F" w:rsidRDefault="000C5E4F" w:rsidP="000C5E4F">
      <w:pPr>
        <w:widowControl/>
        <w:spacing w:line="263" w:lineRule="atLeast"/>
        <w:ind w:firstLine="555"/>
        <w:rPr>
          <w:rFonts w:ascii="Calibri" w:eastAsia="宋体" w:hAnsi="Calibri" w:cs="Calibri"/>
          <w:kern w:val="0"/>
          <w:sz w:val="24"/>
          <w:szCs w:val="24"/>
        </w:rPr>
      </w:pPr>
      <w:r w:rsidRPr="000C5E4F">
        <w:rPr>
          <w:rFonts w:ascii="仿宋_GB2312" w:eastAsia="仿宋_GB2312" w:hAnsi="Calibri" w:cs="Calibri" w:hint="eastAsia"/>
          <w:color w:val="FF0000"/>
          <w:kern w:val="0"/>
          <w:sz w:val="29"/>
          <w:szCs w:val="29"/>
        </w:rPr>
        <w:t>1.若身份证丢失，须提交临时身份证原件（有效期内）或公安机关开具的户籍证明原件（贴有本人近期一寸免冠照片、盖骑缝章）。</w:t>
      </w:r>
    </w:p>
    <w:p w:rsidR="000C5E4F" w:rsidRPr="000C5E4F" w:rsidRDefault="000C5E4F" w:rsidP="000C5E4F">
      <w:pPr>
        <w:widowControl/>
        <w:spacing w:line="263" w:lineRule="atLeast"/>
        <w:ind w:firstLine="555"/>
        <w:rPr>
          <w:rFonts w:ascii="Calibri" w:eastAsia="宋体" w:hAnsi="Calibri" w:cs="Calibri"/>
          <w:kern w:val="0"/>
          <w:sz w:val="24"/>
          <w:szCs w:val="24"/>
        </w:rPr>
      </w:pPr>
      <w:r w:rsidRPr="000C5E4F">
        <w:rPr>
          <w:rFonts w:ascii="仿宋_GB2312" w:eastAsia="仿宋_GB2312" w:hAnsi="Calibri" w:cs="Calibri" w:hint="eastAsia"/>
          <w:color w:val="FF0000"/>
          <w:kern w:val="0"/>
          <w:sz w:val="29"/>
          <w:szCs w:val="29"/>
        </w:rPr>
        <w:t>2.是否可参加复试请查看我院公布的复试名单。</w:t>
      </w:r>
    </w:p>
    <w:p w:rsidR="000C5E4F" w:rsidRPr="000C5E4F" w:rsidRDefault="000C5E4F" w:rsidP="000C5E4F">
      <w:pPr>
        <w:widowControl/>
        <w:spacing w:line="360" w:lineRule="atLeast"/>
        <w:ind w:firstLine="555"/>
        <w:rPr>
          <w:rFonts w:ascii="Calibri" w:eastAsia="宋体" w:hAnsi="Calibri" w:cs="Calibri"/>
          <w:kern w:val="0"/>
          <w:sz w:val="24"/>
          <w:szCs w:val="24"/>
        </w:rPr>
      </w:pPr>
      <w:r w:rsidRPr="000C5E4F">
        <w:rPr>
          <w:rFonts w:ascii="仿宋_GB2312" w:eastAsia="仿宋_GB2312" w:hAnsi="Calibri" w:cs="Calibri" w:hint="eastAsia"/>
          <w:color w:val="FF0000"/>
          <w:kern w:val="0"/>
          <w:sz w:val="29"/>
          <w:szCs w:val="29"/>
        </w:rPr>
        <w:t>3.复试结束后，凡未进行资格审查或资格审查未通过的考生一律不予录取。</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四、调剂规则</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1. 学部将根据报名情况组织专业审核和筛选后，确定进入调剂复试名单。</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2. 原则上考生考试科目及内容与天津大学医学部调入专业相同或相近者优先。</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lastRenderedPageBreak/>
        <w:t>3.考生调入专业应与第一志愿报考专业相同或相近，且在同一学科门类范围内（可</w:t>
      </w:r>
      <w:proofErr w:type="gramStart"/>
      <w:r w:rsidRPr="000C5E4F">
        <w:rPr>
          <w:rFonts w:ascii="华文仿宋" w:eastAsia="华文仿宋" w:hAnsi="华文仿宋" w:cs="Calibri" w:hint="eastAsia"/>
          <w:kern w:val="0"/>
          <w:sz w:val="29"/>
          <w:szCs w:val="29"/>
        </w:rPr>
        <w:t>授不同</w:t>
      </w:r>
      <w:proofErr w:type="gramEnd"/>
      <w:r w:rsidRPr="000C5E4F">
        <w:rPr>
          <w:rFonts w:ascii="华文仿宋" w:eastAsia="华文仿宋" w:hAnsi="华文仿宋" w:cs="Calibri" w:hint="eastAsia"/>
          <w:kern w:val="0"/>
          <w:sz w:val="29"/>
          <w:szCs w:val="29"/>
        </w:rPr>
        <w:t>学科门类学位的专业可跨门类在对应专业所属一级学科范围内进行调剂）。</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五、调剂复试方案</w:t>
      </w:r>
    </w:p>
    <w:p w:rsidR="000C5E4F" w:rsidRPr="000C5E4F" w:rsidRDefault="000C5E4F" w:rsidP="000C5E4F">
      <w:pPr>
        <w:widowControl/>
        <w:spacing w:line="36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1.复试方式：网络远程复试</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（1）复试时间：2023年4月9</w:t>
      </w:r>
      <w:r w:rsidRPr="000C5E4F">
        <w:rPr>
          <w:rFonts w:ascii="仿宋_GB2312" w:eastAsia="仿宋_GB2312" w:hAnsi="宋体" w:cs="宋体" w:hint="eastAsia"/>
          <w:kern w:val="0"/>
          <w:sz w:val="29"/>
          <w:szCs w:val="29"/>
        </w:rPr>
        <w:t> </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（2）复试地点/平台：</w:t>
      </w:r>
      <w:proofErr w:type="gramStart"/>
      <w:r w:rsidRPr="000C5E4F">
        <w:rPr>
          <w:rFonts w:ascii="仿宋_GB2312" w:eastAsia="仿宋_GB2312" w:hAnsi="宋体" w:cs="宋体" w:hint="eastAsia"/>
          <w:kern w:val="0"/>
          <w:sz w:val="29"/>
          <w:szCs w:val="29"/>
        </w:rPr>
        <w:t>腾讯会议</w:t>
      </w:r>
      <w:proofErr w:type="gramEnd"/>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若有变化，请关注学部后续通知。</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注：</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 w:eastAsia="仿宋" w:hAnsi="仿宋" w:cs="宋体" w:hint="eastAsia"/>
          <w:kern w:val="0"/>
          <w:sz w:val="29"/>
          <w:szCs w:val="29"/>
        </w:rPr>
        <w:t>①</w:t>
      </w:r>
      <w:r w:rsidRPr="000C5E4F">
        <w:rPr>
          <w:rFonts w:ascii="仿宋_GB2312" w:eastAsia="仿宋_GB2312" w:hAnsi="宋体" w:cs="宋体" w:hint="eastAsia"/>
          <w:kern w:val="0"/>
          <w:sz w:val="29"/>
          <w:szCs w:val="29"/>
        </w:rPr>
        <w:t>所有考生在经过国家调剂系统初选，从系统内收到调剂通知后再行缴费；</w:t>
      </w:r>
    </w:p>
    <w:p w:rsidR="000C5E4F" w:rsidRPr="000C5E4F" w:rsidRDefault="000C5E4F" w:rsidP="000C5E4F">
      <w:pPr>
        <w:widowControl/>
        <w:spacing w:line="435" w:lineRule="atLeast"/>
        <w:ind w:firstLine="570"/>
        <w:jc w:val="left"/>
        <w:rPr>
          <w:rFonts w:ascii="Arial" w:eastAsia="宋体" w:hAnsi="Arial" w:cs="Arial"/>
          <w:kern w:val="0"/>
          <w:sz w:val="24"/>
          <w:szCs w:val="24"/>
        </w:rPr>
      </w:pPr>
      <w:r w:rsidRPr="000C5E4F">
        <w:rPr>
          <w:rFonts w:ascii="仿宋" w:eastAsia="仿宋" w:hAnsi="仿宋" w:cs="Arial" w:hint="eastAsia"/>
          <w:kern w:val="0"/>
          <w:sz w:val="29"/>
          <w:szCs w:val="29"/>
        </w:rPr>
        <w:t>②</w:t>
      </w:r>
      <w:r w:rsidRPr="000C5E4F">
        <w:rPr>
          <w:rFonts w:ascii="仿宋_GB2312" w:eastAsia="仿宋_GB2312" w:hAnsi="Arial" w:cs="Arial" w:hint="eastAsia"/>
          <w:kern w:val="0"/>
          <w:sz w:val="29"/>
          <w:szCs w:val="29"/>
        </w:rPr>
        <w:t>缴费后因各种原因不能参加复试者，已支付的复试费不退。已经缴纳复试费的考生，参加校内调剂复试不必重复缴费。</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2. 复试内容</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复试内容包括专业能力考核、综合素质考核两部分。专业能力考核包括外语听说能力测试和专业课测试；综合素质考核包括实验（实践）能力测试和综合面试。</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1.专业能力考核：</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1）外语听说能力测试采用面试方式进行，请提前准备1-2分钟英文自我介绍。（2）专业课测试主要测试学生专业素质和专业能力，采用面试方式进行，测试科目为《医学科学与工程基础》，详情请参阅《天津大学2023年硕士研究生招生考试复试大纲》，</w:t>
      </w:r>
      <w:r w:rsidRPr="000C5E4F">
        <w:rPr>
          <w:rFonts w:ascii="仿宋_GB2312" w:eastAsia="仿宋_GB2312" w:hAnsi="宋体" w:cs="宋体" w:hint="eastAsia"/>
          <w:kern w:val="0"/>
          <w:sz w:val="29"/>
          <w:szCs w:val="29"/>
        </w:rPr>
        <w:lastRenderedPageBreak/>
        <w:t>链接http://yzb.tju.edu.cn/xwzx/tkss_xw/202302/t20230209_322944.htm。</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2.综合素质考核：</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1）实验（实践）能力测试主要测试其实验和动手操作技能；采用面试方式进行。（2）综合面试由参加复试的老师直接提问。考核内容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和心理素质以及举止礼仪和表达能力考核等。请提前准备3分钟PPT，内容包括不限于个人简介、科研成果、社会实践等内容。</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3．计分规则</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复试成绩总分200，其中专业能力考核80分，综合素质考核120分。专业能力考核成绩包括外语听说能力测试15分、专业课测试65分；综合素质考核成绩包括实验（实践）能力测试30分、综合面试90分。</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仿宋_GB2312" w:eastAsia="仿宋_GB2312" w:hAnsi="宋体" w:cs="宋体" w:hint="eastAsia"/>
          <w:kern w:val="0"/>
          <w:sz w:val="29"/>
          <w:szCs w:val="29"/>
        </w:rPr>
        <w:t>考生复试成绩应包括专业能力考核、综合素质考核两部分成绩之和，复试成绩低于120分视为复试成绩不合格。</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4、录取规则</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lastRenderedPageBreak/>
        <w:t>录取时按照考生总成绩从高到低进行名次排序，若总成绩相同，按照复试成绩从高到低排序，调剂考生可根据复试批次，分批次排名，分批次录取。</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考生总成绩计算公式为：</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考生总成绩=（初试总成绩÷2.5）×60% +复试总成绩×40%</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凡未进行资格审查或资格审查未通过的考生一律不予录取。</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没有参加复试或者复试总成绩不合格的考生将不予录取。</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5、时间安排</w:t>
      </w:r>
    </w:p>
    <w:p w:rsidR="000C5E4F" w:rsidRPr="000C5E4F" w:rsidRDefault="000C5E4F" w:rsidP="000C5E4F">
      <w:pPr>
        <w:widowControl/>
        <w:spacing w:line="300"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学院将视考生报名情况及时组织复试工作，具体时间请关注网站具体通知。</w:t>
      </w:r>
    </w:p>
    <w:p w:rsidR="000C5E4F" w:rsidRPr="000C5E4F" w:rsidRDefault="000C5E4F" w:rsidP="000C5E4F">
      <w:pPr>
        <w:widowControl/>
        <w:spacing w:line="435"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6．考生复试纪律及要求</w:t>
      </w:r>
    </w:p>
    <w:p w:rsidR="000C5E4F" w:rsidRPr="000C5E4F" w:rsidRDefault="000C5E4F" w:rsidP="000C5E4F">
      <w:pPr>
        <w:widowControl/>
        <w:spacing w:line="435" w:lineRule="atLeast"/>
        <w:ind w:firstLine="555"/>
        <w:rPr>
          <w:rFonts w:ascii="宋体" w:eastAsia="宋体" w:hAnsi="宋体" w:cs="宋体"/>
          <w:kern w:val="0"/>
          <w:sz w:val="27"/>
          <w:szCs w:val="27"/>
        </w:rPr>
      </w:pPr>
      <w:r w:rsidRPr="000C5E4F">
        <w:rPr>
          <w:rFonts w:ascii="华文仿宋" w:eastAsia="华文仿宋" w:hAnsi="华文仿宋" w:cs="宋体" w:hint="eastAsia"/>
          <w:kern w:val="0"/>
          <w:sz w:val="29"/>
          <w:szCs w:val="29"/>
        </w:rPr>
        <w:t>复试全程进行录音录像；学院有必要时，可对相关考生进行再次复试。</w:t>
      </w:r>
    </w:p>
    <w:p w:rsidR="000C5E4F" w:rsidRPr="000C5E4F" w:rsidRDefault="000C5E4F" w:rsidP="000C5E4F">
      <w:pPr>
        <w:widowControl/>
        <w:spacing w:line="435" w:lineRule="atLeast"/>
        <w:ind w:firstLine="555"/>
        <w:outlineLvl w:val="2"/>
        <w:rPr>
          <w:rFonts w:ascii="宋体" w:eastAsia="宋体" w:hAnsi="宋体" w:cs="宋体"/>
          <w:kern w:val="0"/>
          <w:sz w:val="27"/>
          <w:szCs w:val="27"/>
        </w:rPr>
      </w:pPr>
      <w:r w:rsidRPr="000C5E4F">
        <w:rPr>
          <w:rFonts w:ascii="华文仿宋" w:eastAsia="华文仿宋" w:hAnsi="华文仿宋" w:cs="宋体" w:hint="eastAsia"/>
          <w:kern w:val="0"/>
          <w:sz w:val="29"/>
          <w:szCs w:val="29"/>
        </w:rPr>
        <w:t>考生应自觉树立遵章守纪、诚实考试的意识。复试期间，考生应自觉遵守我校考场规则及考生所签署的《诚信复试承诺书》等内容，在所报考学院的所有专业复试全部结束前，不将复试有关资料以任何形式上</w:t>
      </w:r>
      <w:proofErr w:type="gramStart"/>
      <w:r w:rsidRPr="000C5E4F">
        <w:rPr>
          <w:rFonts w:ascii="华文仿宋" w:eastAsia="华文仿宋" w:hAnsi="华文仿宋" w:cs="宋体" w:hint="eastAsia"/>
          <w:kern w:val="0"/>
          <w:sz w:val="29"/>
          <w:szCs w:val="29"/>
        </w:rPr>
        <w:t>传网络</w:t>
      </w:r>
      <w:proofErr w:type="gramEnd"/>
      <w:r w:rsidRPr="000C5E4F">
        <w:rPr>
          <w:rFonts w:ascii="华文仿宋" w:eastAsia="华文仿宋" w:hAnsi="华文仿宋" w:cs="宋体" w:hint="eastAsia"/>
          <w:kern w:val="0"/>
          <w:sz w:val="29"/>
          <w:szCs w:val="29"/>
        </w:rPr>
        <w:t>或泄露给他人（或机构）。对在研究生考试招生中违反考试管理规定和考场纪律，影响考试公平、公正的考生一律按《中华人民共和国教育法》及《国家教育考试违规处理办法》（教育部令第 33 号）严肃处理。</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b/>
          <w:bCs/>
          <w:kern w:val="0"/>
          <w:sz w:val="29"/>
          <w:szCs w:val="29"/>
        </w:rPr>
        <w:t>六、其他事宜</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lastRenderedPageBreak/>
        <w:t>1. 如本通知与天津大学招生复试工作有不符之处，一律按照学校文件执行，解释权在天津大学医学部。</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2. 有关调剂的具体要求及后续通知，请考生关注天津大学医学部/</w:t>
      </w:r>
      <w:proofErr w:type="gramStart"/>
      <w:r w:rsidRPr="000C5E4F">
        <w:rPr>
          <w:rFonts w:ascii="华文仿宋" w:eastAsia="华文仿宋" w:hAnsi="华文仿宋" w:cs="Calibri" w:hint="eastAsia"/>
          <w:kern w:val="0"/>
          <w:sz w:val="29"/>
          <w:szCs w:val="29"/>
        </w:rPr>
        <w:t>医</w:t>
      </w:r>
      <w:proofErr w:type="gramEnd"/>
      <w:r w:rsidRPr="000C5E4F">
        <w:rPr>
          <w:rFonts w:ascii="华文仿宋" w:eastAsia="华文仿宋" w:hAnsi="华文仿宋" w:cs="Calibri" w:hint="eastAsia"/>
          <w:kern w:val="0"/>
          <w:sz w:val="29"/>
          <w:szCs w:val="29"/>
        </w:rPr>
        <w:t>工院网站。</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3. 考生调剂复试后必须通过教育部指定的“全国硕士生招生调剂服务系统”最终确认方能录取。</w:t>
      </w:r>
    </w:p>
    <w:p w:rsidR="000C5E4F" w:rsidRPr="000C5E4F" w:rsidRDefault="000C5E4F" w:rsidP="000C5E4F">
      <w:pPr>
        <w:widowControl/>
        <w:spacing w:line="435" w:lineRule="atLeast"/>
        <w:ind w:firstLine="555"/>
        <w:rPr>
          <w:rFonts w:ascii="Calibri" w:eastAsia="宋体" w:hAnsi="Calibri" w:cs="Calibri"/>
          <w:kern w:val="0"/>
          <w:sz w:val="24"/>
          <w:szCs w:val="24"/>
        </w:rPr>
      </w:pPr>
      <w:r w:rsidRPr="000C5E4F">
        <w:rPr>
          <w:rFonts w:ascii="华文仿宋" w:eastAsia="华文仿宋" w:hAnsi="华文仿宋" w:cs="Calibri" w:hint="eastAsia"/>
          <w:kern w:val="0"/>
          <w:sz w:val="29"/>
          <w:szCs w:val="29"/>
        </w:rPr>
        <w:t>咨询及申诉渠道：天津大学医学部，电话：022-83612123</w:t>
      </w:r>
    </w:p>
    <w:p w:rsidR="000C5E4F" w:rsidRPr="000C5E4F" w:rsidRDefault="000C5E4F" w:rsidP="000C5E4F">
      <w:pPr>
        <w:widowControl/>
        <w:jc w:val="left"/>
        <w:rPr>
          <w:rFonts w:ascii="宋体" w:eastAsia="宋体" w:hAnsi="宋体" w:cs="宋体"/>
          <w:kern w:val="0"/>
          <w:sz w:val="24"/>
          <w:szCs w:val="24"/>
        </w:rPr>
      </w:pPr>
    </w:p>
    <w:p w:rsidR="000C5E4F" w:rsidRPr="000C5E4F" w:rsidRDefault="000C5E4F" w:rsidP="000C5E4F">
      <w:pPr>
        <w:widowControl/>
        <w:jc w:val="left"/>
        <w:rPr>
          <w:rFonts w:ascii="宋体" w:eastAsia="宋体" w:hAnsi="宋体" w:cs="宋体"/>
          <w:kern w:val="0"/>
          <w:sz w:val="24"/>
          <w:szCs w:val="24"/>
        </w:rPr>
      </w:pPr>
      <w:hyperlink r:id="rId10" w:history="1">
        <w:r w:rsidRPr="000C5E4F">
          <w:rPr>
            <w:rFonts w:ascii="宋体" w:eastAsia="宋体" w:hAnsi="宋体" w:cs="宋体"/>
            <w:color w:val="333333"/>
            <w:kern w:val="0"/>
            <w:sz w:val="24"/>
            <w:szCs w:val="24"/>
            <w:u w:val="single"/>
          </w:rPr>
          <w:t>5-非全日制硕士研究生培养方式知情承诺书-非全考生含调剂使用.</w:t>
        </w:r>
        <w:proofErr w:type="gramStart"/>
        <w:r w:rsidRPr="000C5E4F">
          <w:rPr>
            <w:rFonts w:ascii="宋体" w:eastAsia="宋体" w:hAnsi="宋体" w:cs="宋体"/>
            <w:color w:val="333333"/>
            <w:kern w:val="0"/>
            <w:sz w:val="24"/>
            <w:szCs w:val="24"/>
            <w:u w:val="single"/>
          </w:rPr>
          <w:t>docx</w:t>
        </w:r>
        <w:proofErr w:type="gramEnd"/>
      </w:hyperlink>
    </w:p>
    <w:p w:rsidR="000C5E4F" w:rsidRPr="000C5E4F" w:rsidRDefault="000C5E4F" w:rsidP="000C5E4F">
      <w:pPr>
        <w:widowControl/>
        <w:shd w:val="clear" w:color="auto" w:fill="004D87"/>
        <w:jc w:val="left"/>
        <w:rPr>
          <w:rFonts w:ascii="宋体" w:eastAsia="宋体" w:hAnsi="宋体" w:cs="宋体"/>
          <w:color w:val="FFFFFF"/>
          <w:kern w:val="0"/>
          <w:sz w:val="24"/>
          <w:szCs w:val="24"/>
        </w:rPr>
      </w:pPr>
      <w:r w:rsidRPr="000C5E4F">
        <w:rPr>
          <w:rFonts w:ascii="宋体" w:eastAsia="宋体" w:hAnsi="宋体" w:cs="宋体"/>
          <w:color w:val="FFFFFF"/>
          <w:kern w:val="0"/>
          <w:sz w:val="24"/>
          <w:szCs w:val="24"/>
        </w:rPr>
        <w:fldChar w:fldCharType="begin"/>
      </w:r>
      <w:r w:rsidRPr="000C5E4F">
        <w:rPr>
          <w:rFonts w:ascii="宋体" w:eastAsia="宋体" w:hAnsi="宋体" w:cs="宋体"/>
          <w:color w:val="FFFFFF"/>
          <w:kern w:val="0"/>
          <w:sz w:val="24"/>
          <w:szCs w:val="24"/>
        </w:rPr>
        <w:instrText xml:space="preserve"> HYPERLINK "http://mctu.tju.edu.cn/system/_content/download.jsp?urltype=news.DownloadAttachUrl&amp;owner=1638370686&amp;wbfileid=11874569" </w:instrText>
      </w:r>
      <w:r w:rsidRPr="000C5E4F">
        <w:rPr>
          <w:rFonts w:ascii="宋体" w:eastAsia="宋体" w:hAnsi="宋体" w:cs="宋体"/>
          <w:color w:val="FFFFFF"/>
          <w:kern w:val="0"/>
          <w:sz w:val="24"/>
          <w:szCs w:val="24"/>
        </w:rPr>
        <w:fldChar w:fldCharType="separate"/>
      </w:r>
    </w:p>
    <w:p w:rsidR="000C5E4F" w:rsidRPr="000C5E4F" w:rsidRDefault="000C5E4F" w:rsidP="000C5E4F">
      <w:pPr>
        <w:widowControl/>
        <w:shd w:val="clear" w:color="auto" w:fill="004D87"/>
        <w:jc w:val="center"/>
        <w:rPr>
          <w:rFonts w:ascii="宋体" w:eastAsia="宋体" w:hAnsi="宋体" w:cs="宋体"/>
          <w:kern w:val="0"/>
          <w:sz w:val="24"/>
          <w:szCs w:val="24"/>
        </w:rPr>
      </w:pPr>
      <w:r w:rsidRPr="000C5E4F">
        <w:rPr>
          <w:rFonts w:ascii="宋体" w:eastAsia="宋体" w:hAnsi="宋体" w:cs="宋体"/>
          <w:noProof/>
          <w:color w:val="FFFFFF"/>
          <w:kern w:val="0"/>
          <w:sz w:val="24"/>
          <w:szCs w:val="24"/>
        </w:rPr>
        <w:drawing>
          <wp:inline distT="0" distB="0" distL="0" distR="0" wp14:anchorId="06141FCC" wp14:editId="4D1494B9">
            <wp:extent cx="2679700" cy="1638300"/>
            <wp:effectExtent l="0" t="0" r="6350" b="0"/>
            <wp:docPr id="2" name="图片 2" descr="http://mctu.tju.edu.cn/cn/images/map.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ctu.tju.edu.cn/cn/images/map.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1638300"/>
                    </a:xfrm>
                    <a:prstGeom prst="rect">
                      <a:avLst/>
                    </a:prstGeom>
                    <a:noFill/>
                    <a:ln>
                      <a:noFill/>
                    </a:ln>
                  </pic:spPr>
                </pic:pic>
              </a:graphicData>
            </a:graphic>
          </wp:inline>
        </w:drawing>
      </w:r>
    </w:p>
    <w:p w:rsidR="000C5E4F" w:rsidRPr="000C5E4F" w:rsidRDefault="000C5E4F" w:rsidP="000C5E4F">
      <w:pPr>
        <w:widowControl/>
        <w:shd w:val="clear" w:color="auto" w:fill="004D87"/>
        <w:jc w:val="left"/>
        <w:rPr>
          <w:rFonts w:ascii="宋体" w:eastAsia="宋体" w:hAnsi="宋体" w:cs="宋体"/>
          <w:color w:val="FFFFFF"/>
          <w:kern w:val="0"/>
          <w:sz w:val="24"/>
          <w:szCs w:val="24"/>
        </w:rPr>
      </w:pPr>
      <w:r w:rsidRPr="000C5E4F">
        <w:rPr>
          <w:rFonts w:ascii="宋体" w:eastAsia="宋体" w:hAnsi="宋体" w:cs="宋体"/>
          <w:color w:val="FFFFFF"/>
          <w:kern w:val="0"/>
          <w:sz w:val="24"/>
          <w:szCs w:val="24"/>
        </w:rPr>
        <w:fldChar w:fldCharType="end"/>
      </w:r>
    </w:p>
    <w:p w:rsidR="000C5E4F" w:rsidRPr="000C5E4F" w:rsidRDefault="000C5E4F" w:rsidP="000C5E4F">
      <w:pPr>
        <w:widowControl/>
        <w:shd w:val="clear" w:color="auto" w:fill="004D87"/>
        <w:jc w:val="left"/>
        <w:rPr>
          <w:rFonts w:ascii="宋体" w:eastAsia="宋体" w:hAnsi="宋体" w:cs="宋体"/>
          <w:color w:val="FFFFFF"/>
          <w:kern w:val="0"/>
          <w:sz w:val="24"/>
          <w:szCs w:val="24"/>
        </w:rPr>
      </w:pPr>
      <w:r w:rsidRPr="000C5E4F">
        <w:rPr>
          <w:rFonts w:ascii="宋体" w:eastAsia="宋体" w:hAnsi="宋体" w:cs="宋体"/>
          <w:color w:val="FFFFFF"/>
          <w:kern w:val="0"/>
          <w:sz w:val="24"/>
          <w:szCs w:val="24"/>
        </w:rPr>
        <w:fldChar w:fldCharType="begin"/>
      </w:r>
      <w:r w:rsidRPr="000C5E4F">
        <w:rPr>
          <w:rFonts w:ascii="宋体" w:eastAsia="宋体" w:hAnsi="宋体" w:cs="宋体"/>
          <w:color w:val="FFFFFF"/>
          <w:kern w:val="0"/>
          <w:sz w:val="24"/>
          <w:szCs w:val="24"/>
        </w:rPr>
        <w:instrText xml:space="preserve"> HYPERLINK "http://mctu.tju.edu.cn/system/_content/download.jsp?urltype=news.DownloadAttachUrl&amp;owner=1638370686&amp;wbfileid=11874569" </w:instrText>
      </w:r>
      <w:r w:rsidRPr="000C5E4F">
        <w:rPr>
          <w:rFonts w:ascii="宋体" w:eastAsia="宋体" w:hAnsi="宋体" w:cs="宋体"/>
          <w:color w:val="FFFFFF"/>
          <w:kern w:val="0"/>
          <w:sz w:val="24"/>
          <w:szCs w:val="24"/>
        </w:rPr>
        <w:fldChar w:fldCharType="separate"/>
      </w:r>
    </w:p>
    <w:p w:rsidR="000C5E4F" w:rsidRPr="000C5E4F" w:rsidRDefault="000C5E4F" w:rsidP="000C5E4F">
      <w:pPr>
        <w:widowControl/>
        <w:shd w:val="clear" w:color="auto" w:fill="004D87"/>
        <w:jc w:val="center"/>
        <w:rPr>
          <w:rFonts w:ascii="宋体" w:eastAsia="宋体" w:hAnsi="宋体" w:cs="宋体"/>
          <w:kern w:val="0"/>
          <w:sz w:val="24"/>
          <w:szCs w:val="24"/>
        </w:rPr>
      </w:pPr>
      <w:r w:rsidRPr="000C5E4F">
        <w:rPr>
          <w:rFonts w:ascii="宋体" w:eastAsia="宋体" w:hAnsi="宋体" w:cs="宋体"/>
          <w:noProof/>
          <w:color w:val="FFFFFF"/>
          <w:kern w:val="0"/>
          <w:sz w:val="24"/>
          <w:szCs w:val="24"/>
        </w:rPr>
        <w:drawing>
          <wp:inline distT="0" distB="0" distL="0" distR="0" wp14:anchorId="42DDD7EB" wp14:editId="53B11941">
            <wp:extent cx="1238250" cy="1238250"/>
            <wp:effectExtent l="0" t="0" r="0" b="0"/>
            <wp:docPr id="3" name="图片 3" descr="http://mctu.tju.edu.cn/cn/images/er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ctu.tju.edu.cn/cn/images/erm.png">
                      <a:hlinkClick r:id="rId10"/>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p w:rsidR="000C5E4F" w:rsidRPr="000C5E4F" w:rsidRDefault="000C5E4F" w:rsidP="000C5E4F">
      <w:pPr>
        <w:widowControl/>
        <w:shd w:val="clear" w:color="auto" w:fill="004D87"/>
        <w:jc w:val="center"/>
        <w:rPr>
          <w:rFonts w:ascii="宋体" w:eastAsia="宋体" w:hAnsi="宋体" w:cs="宋体"/>
          <w:color w:val="FFFFFF"/>
          <w:kern w:val="0"/>
          <w:sz w:val="24"/>
          <w:szCs w:val="24"/>
        </w:rPr>
      </w:pPr>
      <w:r w:rsidRPr="000C5E4F">
        <w:rPr>
          <w:rFonts w:ascii="宋体" w:eastAsia="宋体" w:hAnsi="宋体" w:cs="宋体"/>
          <w:color w:val="FFFFFF"/>
          <w:kern w:val="0"/>
          <w:sz w:val="24"/>
          <w:szCs w:val="24"/>
        </w:rPr>
        <w:t>欢迎关注天津大学医学部</w:t>
      </w:r>
      <w:proofErr w:type="gramStart"/>
      <w:r w:rsidRPr="000C5E4F">
        <w:rPr>
          <w:rFonts w:ascii="宋体" w:eastAsia="宋体" w:hAnsi="宋体" w:cs="宋体"/>
          <w:color w:val="FFFFFF"/>
          <w:kern w:val="0"/>
          <w:sz w:val="24"/>
          <w:szCs w:val="24"/>
        </w:rPr>
        <w:t>微信公众</w:t>
      </w:r>
      <w:proofErr w:type="gramEnd"/>
      <w:r w:rsidRPr="000C5E4F">
        <w:rPr>
          <w:rFonts w:ascii="宋体" w:eastAsia="宋体" w:hAnsi="宋体" w:cs="宋体"/>
          <w:color w:val="FFFFFF"/>
          <w:kern w:val="0"/>
          <w:sz w:val="24"/>
          <w:szCs w:val="24"/>
        </w:rPr>
        <w:t>号</w:t>
      </w:r>
    </w:p>
    <w:p w:rsidR="000C5E4F" w:rsidRPr="000C5E4F" w:rsidRDefault="000C5E4F" w:rsidP="000C5E4F">
      <w:pPr>
        <w:widowControl/>
        <w:shd w:val="clear" w:color="auto" w:fill="004D87"/>
        <w:jc w:val="left"/>
        <w:rPr>
          <w:rFonts w:ascii="宋体" w:eastAsia="宋体" w:hAnsi="宋体" w:cs="宋体"/>
          <w:color w:val="FFFFFF"/>
          <w:kern w:val="0"/>
          <w:sz w:val="24"/>
          <w:szCs w:val="24"/>
        </w:rPr>
      </w:pPr>
      <w:r w:rsidRPr="000C5E4F">
        <w:rPr>
          <w:rFonts w:ascii="宋体" w:eastAsia="宋体" w:hAnsi="宋体" w:cs="宋体"/>
          <w:color w:val="FFFFFF"/>
          <w:kern w:val="0"/>
          <w:sz w:val="24"/>
          <w:szCs w:val="24"/>
        </w:rPr>
        <w:fldChar w:fldCharType="end"/>
      </w:r>
    </w:p>
    <w:p w:rsidR="00700C8C" w:rsidRPr="000C5E4F" w:rsidRDefault="00700C8C"/>
    <w:sectPr w:rsidR="00700C8C" w:rsidRPr="000C5E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18D" w:rsidRDefault="0043618D" w:rsidP="000C5E4F">
      <w:r>
        <w:separator/>
      </w:r>
    </w:p>
  </w:endnote>
  <w:endnote w:type="continuationSeparator" w:id="0">
    <w:p w:rsidR="0043618D" w:rsidRDefault="0043618D" w:rsidP="000C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18D" w:rsidRDefault="0043618D" w:rsidP="000C5E4F">
      <w:r>
        <w:separator/>
      </w:r>
    </w:p>
  </w:footnote>
  <w:footnote w:type="continuationSeparator" w:id="0">
    <w:p w:rsidR="0043618D" w:rsidRDefault="0043618D" w:rsidP="000C5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BAE"/>
    <w:rsid w:val="000C5E4F"/>
    <w:rsid w:val="0043618D"/>
    <w:rsid w:val="00583BAE"/>
    <w:rsid w:val="00700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5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5E4F"/>
    <w:rPr>
      <w:sz w:val="18"/>
      <w:szCs w:val="18"/>
    </w:rPr>
  </w:style>
  <w:style w:type="paragraph" w:styleId="a4">
    <w:name w:val="footer"/>
    <w:basedOn w:val="a"/>
    <w:link w:val="Char0"/>
    <w:uiPriority w:val="99"/>
    <w:unhideWhenUsed/>
    <w:rsid w:val="000C5E4F"/>
    <w:pPr>
      <w:tabs>
        <w:tab w:val="center" w:pos="4153"/>
        <w:tab w:val="right" w:pos="8306"/>
      </w:tabs>
      <w:snapToGrid w:val="0"/>
      <w:jc w:val="left"/>
    </w:pPr>
    <w:rPr>
      <w:sz w:val="18"/>
      <w:szCs w:val="18"/>
    </w:rPr>
  </w:style>
  <w:style w:type="character" w:customStyle="1" w:styleId="Char0">
    <w:name w:val="页脚 Char"/>
    <w:basedOn w:val="a0"/>
    <w:link w:val="a4"/>
    <w:uiPriority w:val="99"/>
    <w:rsid w:val="000C5E4F"/>
    <w:rPr>
      <w:sz w:val="18"/>
      <w:szCs w:val="18"/>
    </w:rPr>
  </w:style>
  <w:style w:type="paragraph" w:styleId="a5">
    <w:name w:val="Balloon Text"/>
    <w:basedOn w:val="a"/>
    <w:link w:val="Char1"/>
    <w:uiPriority w:val="99"/>
    <w:semiHidden/>
    <w:unhideWhenUsed/>
    <w:rsid w:val="000C5E4F"/>
    <w:rPr>
      <w:sz w:val="18"/>
      <w:szCs w:val="18"/>
    </w:rPr>
  </w:style>
  <w:style w:type="character" w:customStyle="1" w:styleId="Char1">
    <w:name w:val="批注框文本 Char"/>
    <w:basedOn w:val="a0"/>
    <w:link w:val="a5"/>
    <w:uiPriority w:val="99"/>
    <w:semiHidden/>
    <w:rsid w:val="000C5E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5E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5E4F"/>
    <w:rPr>
      <w:sz w:val="18"/>
      <w:szCs w:val="18"/>
    </w:rPr>
  </w:style>
  <w:style w:type="paragraph" w:styleId="a4">
    <w:name w:val="footer"/>
    <w:basedOn w:val="a"/>
    <w:link w:val="Char0"/>
    <w:uiPriority w:val="99"/>
    <w:unhideWhenUsed/>
    <w:rsid w:val="000C5E4F"/>
    <w:pPr>
      <w:tabs>
        <w:tab w:val="center" w:pos="4153"/>
        <w:tab w:val="right" w:pos="8306"/>
      </w:tabs>
      <w:snapToGrid w:val="0"/>
      <w:jc w:val="left"/>
    </w:pPr>
    <w:rPr>
      <w:sz w:val="18"/>
      <w:szCs w:val="18"/>
    </w:rPr>
  </w:style>
  <w:style w:type="character" w:customStyle="1" w:styleId="Char0">
    <w:name w:val="页脚 Char"/>
    <w:basedOn w:val="a0"/>
    <w:link w:val="a4"/>
    <w:uiPriority w:val="99"/>
    <w:rsid w:val="000C5E4F"/>
    <w:rPr>
      <w:sz w:val="18"/>
      <w:szCs w:val="18"/>
    </w:rPr>
  </w:style>
  <w:style w:type="paragraph" w:styleId="a5">
    <w:name w:val="Balloon Text"/>
    <w:basedOn w:val="a"/>
    <w:link w:val="Char1"/>
    <w:uiPriority w:val="99"/>
    <w:semiHidden/>
    <w:unhideWhenUsed/>
    <w:rsid w:val="000C5E4F"/>
    <w:rPr>
      <w:sz w:val="18"/>
      <w:szCs w:val="18"/>
    </w:rPr>
  </w:style>
  <w:style w:type="character" w:customStyle="1" w:styleId="Char1">
    <w:name w:val="批注框文本 Char"/>
    <w:basedOn w:val="a0"/>
    <w:link w:val="a5"/>
    <w:uiPriority w:val="99"/>
    <w:semiHidden/>
    <w:rsid w:val="000C5E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504473">
      <w:bodyDiv w:val="1"/>
      <w:marLeft w:val="0"/>
      <w:marRight w:val="0"/>
      <w:marTop w:val="0"/>
      <w:marBottom w:val="0"/>
      <w:divBdr>
        <w:top w:val="none" w:sz="0" w:space="0" w:color="auto"/>
        <w:left w:val="none" w:sz="0" w:space="0" w:color="auto"/>
        <w:bottom w:val="none" w:sz="0" w:space="0" w:color="auto"/>
        <w:right w:val="none" w:sz="0" w:space="0" w:color="auto"/>
      </w:divBdr>
      <w:divsChild>
        <w:div w:id="176769250">
          <w:marLeft w:val="0"/>
          <w:marRight w:val="0"/>
          <w:marTop w:val="0"/>
          <w:marBottom w:val="300"/>
          <w:divBdr>
            <w:top w:val="none" w:sz="0" w:space="0" w:color="auto"/>
            <w:left w:val="none" w:sz="0" w:space="0" w:color="auto"/>
            <w:bottom w:val="none" w:sz="0" w:space="0" w:color="auto"/>
            <w:right w:val="none" w:sz="0" w:space="0" w:color="auto"/>
          </w:divBdr>
          <w:divsChild>
            <w:div w:id="34088022">
              <w:marLeft w:val="0"/>
              <w:marRight w:val="0"/>
              <w:marTop w:val="0"/>
              <w:marBottom w:val="0"/>
              <w:divBdr>
                <w:top w:val="none" w:sz="0" w:space="0" w:color="auto"/>
                <w:left w:val="none" w:sz="0" w:space="0" w:color="auto"/>
                <w:bottom w:val="none" w:sz="0" w:space="0" w:color="auto"/>
                <w:right w:val="none" w:sz="0" w:space="0" w:color="auto"/>
              </w:divBdr>
              <w:divsChild>
                <w:div w:id="1315909135">
                  <w:marLeft w:val="3900"/>
                  <w:marRight w:val="0"/>
                  <w:marTop w:val="0"/>
                  <w:marBottom w:val="0"/>
                  <w:divBdr>
                    <w:top w:val="none" w:sz="0" w:space="0" w:color="auto"/>
                    <w:left w:val="none" w:sz="0" w:space="0" w:color="auto"/>
                    <w:bottom w:val="none" w:sz="0" w:space="0" w:color="auto"/>
                    <w:right w:val="none" w:sz="0" w:space="0" w:color="auto"/>
                  </w:divBdr>
                  <w:divsChild>
                    <w:div w:id="298189829">
                      <w:marLeft w:val="0"/>
                      <w:marRight w:val="0"/>
                      <w:marTop w:val="0"/>
                      <w:marBottom w:val="0"/>
                      <w:divBdr>
                        <w:top w:val="none" w:sz="0" w:space="0" w:color="auto"/>
                        <w:left w:val="none" w:sz="0" w:space="0" w:color="auto"/>
                        <w:bottom w:val="none" w:sz="0" w:space="0" w:color="auto"/>
                        <w:right w:val="none" w:sz="0" w:space="0" w:color="auto"/>
                      </w:divBdr>
                      <w:divsChild>
                        <w:div w:id="297534675">
                          <w:marLeft w:val="0"/>
                          <w:marRight w:val="0"/>
                          <w:marTop w:val="0"/>
                          <w:marBottom w:val="360"/>
                          <w:divBdr>
                            <w:top w:val="none" w:sz="0" w:space="0" w:color="auto"/>
                            <w:left w:val="none" w:sz="0" w:space="0" w:color="auto"/>
                            <w:bottom w:val="single" w:sz="6" w:space="18" w:color="DDDDDD"/>
                            <w:right w:val="none" w:sz="0" w:space="0" w:color="auto"/>
                          </w:divBdr>
                        </w:div>
                        <w:div w:id="48235281">
                          <w:marLeft w:val="0"/>
                          <w:marRight w:val="0"/>
                          <w:marTop w:val="0"/>
                          <w:marBottom w:val="0"/>
                          <w:divBdr>
                            <w:top w:val="none" w:sz="0" w:space="0" w:color="auto"/>
                            <w:left w:val="none" w:sz="0" w:space="0" w:color="auto"/>
                            <w:bottom w:val="none" w:sz="0" w:space="0" w:color="auto"/>
                            <w:right w:val="none" w:sz="0" w:space="0" w:color="auto"/>
                          </w:divBdr>
                          <w:divsChild>
                            <w:div w:id="1884557743">
                              <w:marLeft w:val="0"/>
                              <w:marRight w:val="0"/>
                              <w:marTop w:val="0"/>
                              <w:marBottom w:val="0"/>
                              <w:divBdr>
                                <w:top w:val="none" w:sz="0" w:space="0" w:color="auto"/>
                                <w:left w:val="none" w:sz="0" w:space="0" w:color="auto"/>
                                <w:bottom w:val="none" w:sz="0" w:space="0" w:color="auto"/>
                                <w:right w:val="none" w:sz="0" w:space="0" w:color="auto"/>
                              </w:divBdr>
                              <w:divsChild>
                                <w:div w:id="5637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90171">
          <w:marLeft w:val="0"/>
          <w:marRight w:val="0"/>
          <w:marTop w:val="0"/>
          <w:marBottom w:val="0"/>
          <w:divBdr>
            <w:top w:val="none" w:sz="0" w:space="0" w:color="auto"/>
            <w:left w:val="none" w:sz="0" w:space="0" w:color="auto"/>
            <w:bottom w:val="none" w:sz="0" w:space="0" w:color="auto"/>
            <w:right w:val="none" w:sz="0" w:space="0" w:color="auto"/>
          </w:divBdr>
          <w:divsChild>
            <w:div w:id="671644379">
              <w:marLeft w:val="0"/>
              <w:marRight w:val="0"/>
              <w:marTop w:val="0"/>
              <w:marBottom w:val="0"/>
              <w:divBdr>
                <w:top w:val="none" w:sz="0" w:space="0" w:color="auto"/>
                <w:left w:val="none" w:sz="0" w:space="0" w:color="auto"/>
                <w:bottom w:val="none" w:sz="0" w:space="0" w:color="auto"/>
                <w:right w:val="none" w:sz="0" w:space="0" w:color="auto"/>
              </w:divBdr>
              <w:divsChild>
                <w:div w:id="673726886">
                  <w:marLeft w:val="46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13.8.92/TGSR/index.ac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mctu.tju.edu.cn/system/_content/download.jsp?urltype=news.DownloadAttachUrl&amp;owner=1638370686&amp;wbfileid=11874569" TargetMode="External"/><Relationship Id="rId4" Type="http://schemas.openxmlformats.org/officeDocument/2006/relationships/webSettings" Target="webSettings.xml"/><Relationship Id="rId9" Type="http://schemas.openxmlformats.org/officeDocument/2006/relationships/hyperlink" Target="http://amt.tju.edu.cn/upload/"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2023-04-06T08:27:00Z</dcterms:created>
  <dcterms:modified xsi:type="dcterms:W3CDTF">2023-04-06T08:27:00Z</dcterms:modified>
</cp:coreProperties>
</file>